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46" w:rsidRDefault="009B3046">
      <w:pPr>
        <w:rPr>
          <w:rtl/>
          <w:lang w:bidi="ar-JO"/>
        </w:rPr>
      </w:pPr>
    </w:p>
    <w:tbl>
      <w:tblPr>
        <w:tblpPr w:leftFromText="180" w:rightFromText="180" w:vertAnchor="text" w:horzAnchor="margin" w:tblpY="256"/>
        <w:bidiVisual/>
        <w:tblW w:w="8613" w:type="dxa"/>
        <w:tblLayout w:type="fixed"/>
        <w:tblLook w:val="04A0" w:firstRow="1" w:lastRow="0" w:firstColumn="1" w:lastColumn="0" w:noHBand="0" w:noVBand="1"/>
      </w:tblPr>
      <w:tblGrid>
        <w:gridCol w:w="1618"/>
        <w:gridCol w:w="4052"/>
        <w:gridCol w:w="2943"/>
      </w:tblGrid>
      <w:tr w:rsidR="009B3046" w:rsidTr="009B3046">
        <w:tc>
          <w:tcPr>
            <w:tcW w:w="1618" w:type="dxa"/>
            <w:shd w:val="clear" w:color="auto" w:fill="548DD4"/>
            <w:hideMark/>
          </w:tcPr>
          <w:p w:rsidR="009B3046" w:rsidRDefault="009B3046" w:rsidP="009B3046">
            <w:pPr>
              <w:tabs>
                <w:tab w:val="right" w:pos="4796"/>
              </w:tabs>
              <w:jc w:val="center"/>
              <w:rPr>
                <w:rFonts w:cs="Simplified Arabic"/>
                <w:b/>
                <w:bCs/>
                <w:color w:val="FFFFFF"/>
                <w:sz w:val="28"/>
                <w:szCs w:val="28"/>
              </w:rPr>
            </w:pPr>
            <w:r>
              <w:rPr>
                <w:rFonts w:asciiTheme="majorBidi" w:hAnsiTheme="majorBidi" w:cstheme="majorBidi"/>
                <w:b/>
                <w:bCs/>
                <w:color w:val="FFFFFF" w:themeColor="background1"/>
                <w:sz w:val="28"/>
                <w:szCs w:val="28"/>
                <w:rtl/>
              </w:rPr>
              <w:t>0404</w:t>
            </w:r>
            <w:r>
              <w:rPr>
                <w:rFonts w:asciiTheme="majorBidi" w:hAnsiTheme="majorBidi" w:cstheme="majorBidi" w:hint="cs"/>
                <w:b/>
                <w:bCs/>
                <w:color w:val="FFFFFF" w:themeColor="background1"/>
                <w:sz w:val="28"/>
                <w:szCs w:val="28"/>
                <w:rtl/>
              </w:rPr>
              <w:t>211</w:t>
            </w:r>
          </w:p>
        </w:tc>
        <w:tc>
          <w:tcPr>
            <w:tcW w:w="4052" w:type="dxa"/>
            <w:shd w:val="clear" w:color="auto" w:fill="548DD4"/>
            <w:hideMark/>
          </w:tcPr>
          <w:p w:rsidR="009B3046" w:rsidRPr="009B3046" w:rsidRDefault="009B3046" w:rsidP="009B3046">
            <w:pPr>
              <w:tabs>
                <w:tab w:val="right" w:pos="4796"/>
              </w:tabs>
              <w:jc w:val="center"/>
              <w:rPr>
                <w:rFonts w:cs="Simplified Arabic" w:hint="cs"/>
                <w:b/>
                <w:bCs/>
                <w:color w:val="FFFFFF" w:themeColor="background1"/>
                <w:sz w:val="28"/>
                <w:szCs w:val="28"/>
                <w:rtl/>
                <w:lang w:bidi="ar-JO"/>
              </w:rPr>
            </w:pPr>
            <w:r w:rsidRPr="009B3046">
              <w:rPr>
                <w:b/>
                <w:bCs/>
                <w:color w:val="FFFFFF" w:themeColor="background1"/>
                <w:sz w:val="28"/>
                <w:szCs w:val="28"/>
              </w:rPr>
              <w:t>financial derivative</w:t>
            </w:r>
            <w:bookmarkStart w:id="0" w:name="_GoBack"/>
            <w:bookmarkEnd w:id="0"/>
          </w:p>
        </w:tc>
        <w:tc>
          <w:tcPr>
            <w:tcW w:w="2943" w:type="dxa"/>
            <w:shd w:val="clear" w:color="auto" w:fill="548DD4"/>
            <w:hideMark/>
          </w:tcPr>
          <w:p w:rsidR="009B3046" w:rsidRDefault="009B3046" w:rsidP="009B3046">
            <w:pPr>
              <w:spacing w:line="240" w:lineRule="auto"/>
              <w:rPr>
                <w:rFonts w:ascii="Simplified Arabic" w:hAnsi="Simplified Arabic" w:cs="Simplified Arabic"/>
                <w:b/>
                <w:bCs/>
                <w:color w:val="FFFFFF"/>
                <w:sz w:val="28"/>
                <w:szCs w:val="28"/>
                <w:rtl/>
                <w:lang w:bidi="ar-JO"/>
              </w:rPr>
            </w:pPr>
            <w:r>
              <w:rPr>
                <w:rFonts w:ascii="Simplified Arabic" w:hAnsi="Simplified Arabic" w:cs="Simplified Arabic" w:hint="cs"/>
                <w:b/>
                <w:bCs/>
                <w:color w:val="FFFFFF"/>
                <w:sz w:val="28"/>
                <w:szCs w:val="28"/>
                <w:rtl/>
                <w:lang w:bidi="ar-JO"/>
              </w:rPr>
              <w:t xml:space="preserve">      0404428</w:t>
            </w:r>
          </w:p>
        </w:tc>
      </w:tr>
    </w:tbl>
    <w:p w:rsidR="009B3046" w:rsidRDefault="009B3046">
      <w:pPr>
        <w:rPr>
          <w:rtl/>
          <w:lang w:bidi="ar-JO"/>
        </w:rPr>
      </w:pPr>
    </w:p>
    <w:p w:rsidR="009B3046" w:rsidRDefault="009B3046" w:rsidP="009B3046">
      <w:pPr>
        <w:bidi w:val="0"/>
        <w:jc w:val="both"/>
        <w:rPr>
          <w:b/>
          <w:bCs/>
        </w:rPr>
      </w:pPr>
    </w:p>
    <w:p w:rsidR="009B3046" w:rsidRDefault="009B3046" w:rsidP="009B3046">
      <w:pPr>
        <w:bidi w:val="0"/>
        <w:jc w:val="both"/>
        <w:rPr>
          <w:i/>
          <w:color w:val="424952"/>
        </w:rPr>
      </w:pPr>
      <w:r w:rsidRPr="00166228">
        <w:rPr>
          <w:b/>
          <w:bCs/>
        </w:rPr>
        <w:t>The focus of this course is on the financial derivatives that concern companies and governments in terms of exchange rates and interest rates for the purpose of dealing with risks to suit the risk transfer or reduction in part, in addition to research and analysis in international theories that explain the financial and accounting problems arising from their use and impact In the development of forms of international finance and international financial institutions.</w:t>
      </w:r>
    </w:p>
    <w:p w:rsidR="009B3046" w:rsidRPr="009B3046" w:rsidRDefault="009B3046">
      <w:pPr>
        <w:rPr>
          <w:rFonts w:hint="cs"/>
          <w:lang w:bidi="ar-JO"/>
        </w:rPr>
      </w:pPr>
    </w:p>
    <w:sectPr w:rsidR="009B3046" w:rsidRPr="009B3046" w:rsidSect="004961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46"/>
    <w:rsid w:val="00336E79"/>
    <w:rsid w:val="004961D2"/>
    <w:rsid w:val="009B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27F7B-CC3F-4D1D-A853-3BF860AC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04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financedept</dc:creator>
  <cp:keywords/>
  <dc:description/>
  <cp:lastModifiedBy>financedept</cp:lastModifiedBy>
  <cp:revision>1</cp:revision>
  <dcterms:created xsi:type="dcterms:W3CDTF">2021-02-07T12:35:00Z</dcterms:created>
  <dcterms:modified xsi:type="dcterms:W3CDTF">2021-02-07T12:40:00Z</dcterms:modified>
</cp:coreProperties>
</file>