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E59" w:rsidRDefault="009A7E59" w:rsidP="000D6C4A">
      <w:pPr>
        <w:bidi w:val="0"/>
        <w:rPr>
          <w:b/>
          <w:bCs/>
        </w:rPr>
      </w:pPr>
    </w:p>
    <w:p w:rsidR="009A7E59" w:rsidRDefault="009A7E59" w:rsidP="009A7E59">
      <w:pPr>
        <w:bidi w:val="0"/>
        <w:rPr>
          <w:b/>
          <w:bCs/>
        </w:rPr>
      </w:pPr>
    </w:p>
    <w:p w:rsidR="009A7E59" w:rsidRDefault="009A7E59" w:rsidP="009A7E59">
      <w:pPr>
        <w:bidi w:val="0"/>
        <w:rPr>
          <w:b/>
          <w:bCs/>
        </w:rPr>
      </w:pPr>
    </w:p>
    <w:tbl>
      <w:tblPr>
        <w:tblW w:w="0" w:type="auto"/>
        <w:jc w:val="center"/>
        <w:tblLook w:val="04A0" w:firstRow="1" w:lastRow="0" w:firstColumn="1" w:lastColumn="0" w:noHBand="0" w:noVBand="1"/>
      </w:tblPr>
      <w:tblGrid>
        <w:gridCol w:w="1238"/>
        <w:gridCol w:w="5198"/>
        <w:gridCol w:w="1870"/>
      </w:tblGrid>
      <w:tr w:rsidR="009A7E59" w:rsidRPr="00D71F73" w:rsidTr="00BA1B4E">
        <w:trPr>
          <w:jc w:val="center"/>
        </w:trPr>
        <w:tc>
          <w:tcPr>
            <w:tcW w:w="1242" w:type="dxa"/>
            <w:shd w:val="clear" w:color="auto" w:fill="8496B0" w:themeFill="text2" w:themeFillTint="99"/>
          </w:tcPr>
          <w:p w:rsidR="009A7E59" w:rsidRPr="00D71F73" w:rsidRDefault="009A7E59" w:rsidP="00BA1B4E">
            <w:pPr>
              <w:jc w:val="lowKashida"/>
              <w:rPr>
                <w:rFonts w:asciiTheme="majorBidi" w:hAnsiTheme="majorBidi" w:cstheme="majorBidi"/>
                <w:color w:val="FFFFFF" w:themeColor="background1"/>
                <w:sz w:val="28"/>
                <w:szCs w:val="28"/>
                <w:rtl/>
              </w:rPr>
            </w:pPr>
            <w:r w:rsidRPr="00D71F73">
              <w:rPr>
                <w:b/>
                <w:bCs/>
                <w:color w:val="FFFFFF" w:themeColor="background1"/>
                <w:sz w:val="28"/>
                <w:szCs w:val="28"/>
              </w:rPr>
              <w:t>040431</w:t>
            </w:r>
            <w:r>
              <w:rPr>
                <w:b/>
                <w:bCs/>
                <w:color w:val="FFFFFF" w:themeColor="background1"/>
                <w:sz w:val="28"/>
                <w:szCs w:val="28"/>
              </w:rPr>
              <w:t>5</w:t>
            </w:r>
          </w:p>
        </w:tc>
        <w:tc>
          <w:tcPr>
            <w:tcW w:w="5670" w:type="dxa"/>
            <w:shd w:val="clear" w:color="auto" w:fill="8496B0" w:themeFill="text2" w:themeFillTint="99"/>
          </w:tcPr>
          <w:p w:rsidR="009A7E59" w:rsidRPr="00CD25C0" w:rsidRDefault="009A7E59" w:rsidP="00BA1B4E">
            <w:pPr>
              <w:jc w:val="lowKashida"/>
              <w:rPr>
                <w:rFonts w:asciiTheme="majorBidi" w:hAnsiTheme="majorBidi" w:cstheme="majorBidi" w:hint="cs"/>
                <w:color w:val="FFFFFF" w:themeColor="background1"/>
                <w:sz w:val="28"/>
                <w:szCs w:val="28"/>
                <w:rtl/>
              </w:rPr>
            </w:pPr>
            <w:r>
              <w:rPr>
                <w:rFonts w:hint="cs"/>
                <w:b/>
                <w:bCs/>
                <w:color w:val="FFFFFF" w:themeColor="background1"/>
                <w:sz w:val="28"/>
                <w:szCs w:val="28"/>
                <w:rtl/>
              </w:rPr>
              <w:t xml:space="preserve">                    ادارة الائتمان</w:t>
            </w:r>
          </w:p>
        </w:tc>
        <w:tc>
          <w:tcPr>
            <w:tcW w:w="1944" w:type="dxa"/>
            <w:shd w:val="clear" w:color="auto" w:fill="8496B0" w:themeFill="text2" w:themeFillTint="99"/>
          </w:tcPr>
          <w:p w:rsidR="009A7E59" w:rsidRPr="00D71F73" w:rsidRDefault="009A7E59" w:rsidP="00BA1B4E">
            <w:pPr>
              <w:rPr>
                <w:b/>
                <w:bCs/>
                <w:color w:val="FFFFFF" w:themeColor="background1"/>
                <w:sz w:val="28"/>
                <w:szCs w:val="28"/>
              </w:rPr>
            </w:pPr>
            <w:r w:rsidRPr="00D71F73">
              <w:rPr>
                <w:b/>
                <w:bCs/>
                <w:color w:val="FFFFFF" w:themeColor="background1"/>
                <w:sz w:val="28"/>
                <w:szCs w:val="28"/>
              </w:rPr>
              <w:t>0404211</w:t>
            </w:r>
          </w:p>
        </w:tc>
      </w:tr>
    </w:tbl>
    <w:p w:rsidR="009A7E59" w:rsidRDefault="009A7E59" w:rsidP="009A7E59">
      <w:pPr>
        <w:bidi w:val="0"/>
        <w:rPr>
          <w:b/>
          <w:bCs/>
        </w:rPr>
      </w:pPr>
    </w:p>
    <w:p w:rsidR="000D6C4A" w:rsidRDefault="000D6C4A" w:rsidP="009A7E59">
      <w:pPr>
        <w:bidi w:val="0"/>
        <w:jc w:val="both"/>
        <w:rPr>
          <w:b/>
          <w:bCs/>
        </w:rPr>
      </w:pPr>
      <w:bookmarkStart w:id="0" w:name="_GoBack"/>
      <w:r>
        <w:t>The article discusses the topics of bank credit in terms of its origin, development and types, how commercial banks grant credit, the policy adopted for this purpose, and the elements to be adopted when providing credit facilities, especially with regard to the adequacy of liquidity, profitability and risk. The article addresses the global crises related to credit and its causes,</w:t>
      </w:r>
    </w:p>
    <w:bookmarkEnd w:id="0"/>
    <w:p w:rsidR="006D174C" w:rsidRPr="000D6C4A" w:rsidRDefault="006D174C"/>
    <w:sectPr w:rsidR="006D174C" w:rsidRPr="000D6C4A" w:rsidSect="004961D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4A"/>
    <w:rsid w:val="000D6C4A"/>
    <w:rsid w:val="004961D2"/>
    <w:rsid w:val="006D174C"/>
    <w:rsid w:val="009A7E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44DC5-8A0F-4FD1-AFF4-063B51B3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C4A"/>
    <w:pPr>
      <w:bidi/>
      <w:spacing w:after="0" w:line="240" w:lineRule="auto"/>
    </w:pPr>
    <w:rPr>
      <w:rFonts w:ascii="Times New Roman" w:eastAsia="Times New Roman" w:hAnsi="Times New Roman" w:cs="Times New Roman"/>
      <w:sz w:val="24"/>
      <w:szCs w:val="24"/>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03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financedept</dc:creator>
  <cp:keywords/>
  <dc:description/>
  <cp:lastModifiedBy>financedept</cp:lastModifiedBy>
  <cp:revision>2</cp:revision>
  <dcterms:created xsi:type="dcterms:W3CDTF">2021-02-07T12:04:00Z</dcterms:created>
  <dcterms:modified xsi:type="dcterms:W3CDTF">2021-02-07T12:14:00Z</dcterms:modified>
</cp:coreProperties>
</file>