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132" w:type="dxa"/>
        <w:tblLayout w:type="fixed"/>
        <w:tblLook w:val="04A0"/>
      </w:tblPr>
      <w:tblGrid>
        <w:gridCol w:w="1618"/>
        <w:gridCol w:w="4193"/>
        <w:gridCol w:w="2802"/>
      </w:tblGrid>
      <w:tr w:rsidR="00A44477" w:rsidRPr="002A3B1D" w:rsidTr="007A7DFB">
        <w:tc>
          <w:tcPr>
            <w:tcW w:w="1618" w:type="dxa"/>
            <w:shd w:val="clear" w:color="auto" w:fill="548DD4"/>
          </w:tcPr>
          <w:p w:rsidR="00A44477" w:rsidRPr="006F0BD5" w:rsidRDefault="00A44477" w:rsidP="007A7DFB">
            <w:pPr>
              <w:tabs>
                <w:tab w:val="right" w:pos="4796"/>
              </w:tabs>
              <w:jc w:val="center"/>
              <w:rPr>
                <w:rFonts w:cs="Simplified Arabic"/>
                <w:b/>
                <w:bCs/>
                <w:color w:val="FFFFFF"/>
                <w:sz w:val="28"/>
                <w:szCs w:val="28"/>
                <w:rtl/>
              </w:rPr>
            </w:pPr>
            <w:r w:rsidRPr="006F0BD5">
              <w:rPr>
                <w:rFonts w:cs="Simplified Arabic"/>
                <w:b/>
                <w:bCs/>
                <w:color w:val="FFFFFF"/>
                <w:sz w:val="28"/>
                <w:szCs w:val="28"/>
                <w:rtl/>
              </w:rPr>
              <w:t>0404314</w:t>
            </w:r>
          </w:p>
        </w:tc>
        <w:tc>
          <w:tcPr>
            <w:tcW w:w="4193" w:type="dxa"/>
            <w:shd w:val="clear" w:color="auto" w:fill="548DD4"/>
          </w:tcPr>
          <w:p w:rsidR="00A44477" w:rsidRPr="006F0BD5" w:rsidRDefault="00A44477" w:rsidP="007A7DFB">
            <w:pPr>
              <w:tabs>
                <w:tab w:val="right" w:pos="4796"/>
              </w:tabs>
              <w:jc w:val="center"/>
              <w:rPr>
                <w:rFonts w:cs="Simplified Arabic"/>
                <w:b/>
                <w:bCs/>
                <w:color w:val="FFFFFF"/>
                <w:sz w:val="28"/>
                <w:szCs w:val="28"/>
                <w:rtl/>
              </w:rPr>
            </w:pPr>
            <w:r w:rsidRPr="006F0BD5">
              <w:rPr>
                <w:rFonts w:cs="Simplified Arabic" w:hint="cs"/>
                <w:b/>
                <w:bCs/>
                <w:color w:val="FFFFFF"/>
                <w:sz w:val="28"/>
                <w:szCs w:val="28"/>
                <w:rtl/>
              </w:rPr>
              <w:t>إدارة</w:t>
            </w:r>
            <w:r w:rsidRPr="006F0BD5">
              <w:rPr>
                <w:rFonts w:cs="Simplified Arabic"/>
                <w:b/>
                <w:bCs/>
                <w:color w:val="FFFFFF"/>
                <w:sz w:val="28"/>
                <w:szCs w:val="28"/>
                <w:rtl/>
              </w:rPr>
              <w:t xml:space="preserve"> المخاطر المالية</w:t>
            </w:r>
          </w:p>
        </w:tc>
        <w:tc>
          <w:tcPr>
            <w:tcW w:w="2802" w:type="dxa"/>
            <w:shd w:val="clear" w:color="auto" w:fill="548DD4"/>
          </w:tcPr>
          <w:p w:rsidR="00A44477" w:rsidRPr="006F0BD5" w:rsidRDefault="00A44477" w:rsidP="007A7DFB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6F0BD5">
              <w:rPr>
                <w:color w:val="FFFFFF"/>
                <w:sz w:val="28"/>
                <w:szCs w:val="28"/>
                <w:rtl/>
              </w:rPr>
              <w:t>0404211</w:t>
            </w:r>
          </w:p>
        </w:tc>
      </w:tr>
    </w:tbl>
    <w:p w:rsidR="00A44477" w:rsidRPr="00333ED6" w:rsidRDefault="00A44477" w:rsidP="00A44477">
      <w:pPr>
        <w:jc w:val="both"/>
        <w:rPr>
          <w:rFonts w:cs="Simplified Arabic"/>
          <w:sz w:val="24"/>
          <w:szCs w:val="24"/>
          <w:rtl/>
        </w:rPr>
      </w:pPr>
      <w:r w:rsidRPr="00333ED6">
        <w:rPr>
          <w:rFonts w:cs="Simplified Arabic"/>
          <w:sz w:val="24"/>
          <w:szCs w:val="24"/>
          <w:rtl/>
        </w:rPr>
        <w:t>يتم التركيز في هذه المادة على مفهوم الخطر، وطرق قياسه، ووسائل مواجهته</w:t>
      </w:r>
      <w:r w:rsidRPr="00333ED6">
        <w:rPr>
          <w:rFonts w:cs="Simplified Arabic" w:hint="cs"/>
          <w:sz w:val="24"/>
          <w:szCs w:val="24"/>
          <w:rtl/>
        </w:rPr>
        <w:t>.</w:t>
      </w:r>
      <w:r w:rsidRPr="00333ED6">
        <w:rPr>
          <w:rFonts w:cs="Simplified Arabic"/>
          <w:sz w:val="24"/>
          <w:szCs w:val="24"/>
          <w:rtl/>
        </w:rPr>
        <w:t xml:space="preserve"> وعلى أساليب إدارة مخاطر الاستثمار المالي، وعلى أساليب مراقبتها</w:t>
      </w:r>
      <w:r w:rsidRPr="00333ED6">
        <w:rPr>
          <w:rFonts w:cs="Simplified Arabic" w:hint="cs"/>
          <w:sz w:val="24"/>
          <w:szCs w:val="24"/>
          <w:rtl/>
        </w:rPr>
        <w:t>.</w:t>
      </w:r>
      <w:r w:rsidRPr="00333ED6">
        <w:rPr>
          <w:rFonts w:cs="Simplified Arabic"/>
          <w:sz w:val="24"/>
          <w:szCs w:val="24"/>
          <w:rtl/>
        </w:rPr>
        <w:t xml:space="preserve"> إضافة </w:t>
      </w:r>
      <w:r w:rsidRPr="00333ED6">
        <w:rPr>
          <w:rFonts w:cs="Simplified Arabic" w:hint="cs"/>
          <w:sz w:val="24"/>
          <w:szCs w:val="24"/>
          <w:rtl/>
        </w:rPr>
        <w:t>إلى</w:t>
      </w:r>
      <w:r w:rsidRPr="00333ED6">
        <w:rPr>
          <w:rFonts w:cs="Simplified Arabic"/>
          <w:sz w:val="24"/>
          <w:szCs w:val="24"/>
          <w:rtl/>
        </w:rPr>
        <w:t xml:space="preserve"> دراسة حالات تطبيقية في إدارة المخاطر</w:t>
      </w:r>
      <w:r w:rsidRPr="00333ED6">
        <w:rPr>
          <w:rFonts w:cs="Simplified Arabic" w:hint="cs"/>
          <w:sz w:val="24"/>
          <w:szCs w:val="24"/>
          <w:rtl/>
        </w:rPr>
        <w:t>.</w:t>
      </w:r>
    </w:p>
    <w:p w:rsidR="00480AD4" w:rsidRDefault="00480AD4">
      <w:pPr>
        <w:rPr>
          <w:rtl/>
        </w:rPr>
      </w:pPr>
    </w:p>
    <w:p w:rsidR="00A44477" w:rsidRPr="006B2E9D" w:rsidRDefault="00A44477" w:rsidP="00A44477">
      <w:pPr>
        <w:pStyle w:val="BodyText"/>
        <w:spacing w:line="276" w:lineRule="auto"/>
        <w:jc w:val="lowKashida"/>
        <w:rPr>
          <w:rFonts w:cs="Simplified Arabic"/>
        </w:rPr>
      </w:pPr>
      <w:r w:rsidRPr="00E14FAB">
        <w:rPr>
          <w:rFonts w:cs="Simplified Arabic"/>
        </w:rPr>
        <w:t>This course focuses on the risk concept, measure, and ways of risks facing. It tackles the related decisions of managing risks, and applied practically cases in risk management.</w:t>
      </w:r>
    </w:p>
    <w:p w:rsidR="00A44477" w:rsidRPr="00A44477" w:rsidRDefault="00A44477"/>
    <w:sectPr w:rsidR="00A44477" w:rsidRPr="00A44477" w:rsidSect="00480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4477"/>
    <w:rsid w:val="000E5C68"/>
    <w:rsid w:val="00480AD4"/>
    <w:rsid w:val="00A4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444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JO"/>
    </w:rPr>
  </w:style>
  <w:style w:type="character" w:customStyle="1" w:styleId="BodyTextChar">
    <w:name w:val="Body Text Char"/>
    <w:basedOn w:val="DefaultParagraphFont"/>
    <w:link w:val="BodyText"/>
    <w:uiPriority w:val="99"/>
    <w:rsid w:val="00A44477"/>
    <w:rPr>
      <w:rFonts w:ascii="Times New Roman" w:eastAsia="Times New Roman" w:hAnsi="Times New Roman" w:cs="Times New Roman"/>
      <w:color w:val="000000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financedept</dc:creator>
  <cp:lastModifiedBy>financedept</cp:lastModifiedBy>
  <cp:revision>2</cp:revision>
  <dcterms:created xsi:type="dcterms:W3CDTF">2016-12-29T09:25:00Z</dcterms:created>
  <dcterms:modified xsi:type="dcterms:W3CDTF">2016-12-29T09:25:00Z</dcterms:modified>
</cp:coreProperties>
</file>