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Ind w:w="-132" w:type="dxa"/>
        <w:tblLayout w:type="fixed"/>
        <w:tblLook w:val="04A0" w:firstRow="1" w:lastRow="0" w:firstColumn="1" w:lastColumn="0" w:noHBand="0" w:noVBand="1"/>
      </w:tblPr>
      <w:tblGrid>
        <w:gridCol w:w="1618"/>
        <w:gridCol w:w="4052"/>
        <w:gridCol w:w="2943"/>
      </w:tblGrid>
      <w:tr w:rsidR="008B780C" w:rsidRPr="002A3B1D" w:rsidTr="007A7DFB">
        <w:tc>
          <w:tcPr>
            <w:tcW w:w="1618" w:type="dxa"/>
            <w:shd w:val="clear" w:color="auto" w:fill="548DD4"/>
          </w:tcPr>
          <w:p w:rsidR="008B780C" w:rsidRPr="00AF4DF1" w:rsidRDefault="008B780C" w:rsidP="005C6E6B">
            <w:pPr>
              <w:tabs>
                <w:tab w:val="right" w:pos="4796"/>
              </w:tabs>
              <w:jc w:val="center"/>
              <w:rPr>
                <w:rFonts w:cs="Simplified Arabic"/>
                <w:b/>
                <w:bCs/>
                <w:color w:val="FFFFFF"/>
                <w:sz w:val="28"/>
                <w:szCs w:val="28"/>
                <w:rtl/>
              </w:rPr>
            </w:pPr>
            <w:r w:rsidRPr="00AF4DF1">
              <w:rPr>
                <w:rFonts w:cs="Simplified Arabic"/>
                <w:b/>
                <w:bCs/>
                <w:color w:val="FFFFFF"/>
                <w:sz w:val="28"/>
                <w:szCs w:val="28"/>
                <w:rtl/>
              </w:rPr>
              <w:t>040442</w:t>
            </w:r>
            <w:r w:rsidR="005C6E6B">
              <w:rPr>
                <w:rFonts w:cs="Simplified Arabic" w:hint="cs"/>
                <w:b/>
                <w:bCs/>
                <w:color w:val="FFFFFF"/>
                <w:sz w:val="28"/>
                <w:szCs w:val="28"/>
                <w:rtl/>
              </w:rPr>
              <w:t>6</w:t>
            </w:r>
          </w:p>
        </w:tc>
        <w:tc>
          <w:tcPr>
            <w:tcW w:w="4052" w:type="dxa"/>
            <w:shd w:val="clear" w:color="auto" w:fill="548DD4"/>
          </w:tcPr>
          <w:p w:rsidR="008B780C" w:rsidRPr="00AF4DF1" w:rsidRDefault="005C6E6B" w:rsidP="007A7DFB">
            <w:pPr>
              <w:tabs>
                <w:tab w:val="right" w:pos="4796"/>
              </w:tabs>
              <w:jc w:val="center"/>
              <w:rPr>
                <w:rFonts w:cs="Simplified Arabic"/>
                <w:b/>
                <w:bCs/>
                <w:color w:val="FFFFFF"/>
                <w:sz w:val="28"/>
                <w:szCs w:val="28"/>
                <w:rtl/>
              </w:rPr>
            </w:pPr>
            <w:r>
              <w:rPr>
                <w:rFonts w:cs="Simplified Arabic" w:hint="cs"/>
                <w:b/>
                <w:bCs/>
                <w:color w:val="FFFFFF"/>
                <w:sz w:val="28"/>
                <w:szCs w:val="28"/>
                <w:rtl/>
              </w:rPr>
              <w:t>التحليل والتخطيط</w:t>
            </w:r>
            <w:bookmarkStart w:id="0" w:name="_GoBack"/>
            <w:bookmarkEnd w:id="0"/>
            <w:r>
              <w:rPr>
                <w:rFonts w:cs="Simplified Arabic" w:hint="cs"/>
                <w:b/>
                <w:bCs/>
                <w:color w:val="FFFFFF"/>
                <w:sz w:val="28"/>
                <w:szCs w:val="28"/>
                <w:rtl/>
              </w:rPr>
              <w:t xml:space="preserve"> </w:t>
            </w:r>
            <w:r w:rsidR="008B780C" w:rsidRPr="00AF4DF1">
              <w:rPr>
                <w:rFonts w:cs="Simplified Arabic"/>
                <w:b/>
                <w:bCs/>
                <w:color w:val="FFFFFF"/>
                <w:sz w:val="28"/>
                <w:szCs w:val="28"/>
                <w:rtl/>
              </w:rPr>
              <w:t>المالي</w:t>
            </w:r>
          </w:p>
        </w:tc>
        <w:tc>
          <w:tcPr>
            <w:tcW w:w="2943" w:type="dxa"/>
            <w:shd w:val="clear" w:color="auto" w:fill="548DD4"/>
          </w:tcPr>
          <w:p w:rsidR="008B780C" w:rsidRPr="00C226C1" w:rsidRDefault="008B780C" w:rsidP="007A7DFB">
            <w:pPr>
              <w:spacing w:line="240" w:lineRule="auto"/>
              <w:rPr>
                <w:rFonts w:ascii="Simplified Arabic" w:hAnsi="Simplified Arabic" w:cs="Simplified Arabic"/>
                <w:b/>
                <w:bCs/>
                <w:color w:val="FFFFFF"/>
                <w:sz w:val="28"/>
                <w:szCs w:val="28"/>
                <w:rtl/>
                <w:lang w:bidi="ar-JO"/>
              </w:rPr>
            </w:pPr>
            <w:r w:rsidRPr="00C226C1">
              <w:rPr>
                <w:color w:val="FFFFFF"/>
                <w:sz w:val="28"/>
                <w:szCs w:val="28"/>
                <w:rtl/>
              </w:rPr>
              <w:t>0404211</w:t>
            </w:r>
          </w:p>
        </w:tc>
      </w:tr>
    </w:tbl>
    <w:p w:rsidR="008B780C" w:rsidRPr="00C226C1" w:rsidRDefault="008B780C" w:rsidP="008B780C">
      <w:pPr>
        <w:jc w:val="both"/>
        <w:rPr>
          <w:rFonts w:cs="Simplified Arabic"/>
          <w:sz w:val="24"/>
          <w:szCs w:val="24"/>
          <w:rtl/>
          <w:lang w:bidi="ar-JO"/>
        </w:rPr>
      </w:pPr>
      <w:r w:rsidRPr="00C226C1">
        <w:rPr>
          <w:rFonts w:cs="Simplified Arabic"/>
          <w:sz w:val="24"/>
          <w:szCs w:val="24"/>
          <w:rtl/>
        </w:rPr>
        <w:t>يتم التركيز في هذه المادة على كيفية وضع أهداف لمؤسسة معينة وما هي العناصر التي تتأثر بهذه الأهداف، ومصادر التمويل اللازم، وتحديد حجم التمويل اللازم على المستوى الداخلي وعلى المستوى الخارجي</w:t>
      </w:r>
      <w:r w:rsidRPr="00C226C1">
        <w:rPr>
          <w:rFonts w:cs="Simplified Arabic" w:hint="cs"/>
          <w:sz w:val="24"/>
          <w:szCs w:val="24"/>
          <w:rtl/>
        </w:rPr>
        <w:t>.</w:t>
      </w:r>
      <w:r w:rsidRPr="00C226C1">
        <w:rPr>
          <w:rFonts w:cs="Simplified Arabic"/>
          <w:sz w:val="24"/>
          <w:szCs w:val="24"/>
          <w:rtl/>
        </w:rPr>
        <w:t xml:space="preserve"> واستخدام النسب المالية للتعرف على أنواع المشاكل التي تعاني منها المنشأة، ومناقشة أساليب التحليل المالي المختلفة وأفضل الطرق الممكن اتباعها</w:t>
      </w:r>
      <w:r w:rsidRPr="00C226C1">
        <w:rPr>
          <w:rFonts w:cs="Simplified Arabic" w:hint="cs"/>
          <w:sz w:val="24"/>
          <w:szCs w:val="24"/>
          <w:rtl/>
        </w:rPr>
        <w:t>.</w:t>
      </w:r>
    </w:p>
    <w:p w:rsidR="008B71CD" w:rsidRDefault="008B71CD">
      <w:pPr>
        <w:rPr>
          <w:rtl/>
          <w:lang w:bidi="ar-JO"/>
        </w:rPr>
      </w:pPr>
    </w:p>
    <w:tbl>
      <w:tblPr>
        <w:tblW w:w="0" w:type="auto"/>
        <w:jc w:val="center"/>
        <w:tblLook w:val="04A0" w:firstRow="1" w:lastRow="0" w:firstColumn="1" w:lastColumn="0" w:noHBand="0" w:noVBand="1"/>
      </w:tblPr>
      <w:tblGrid>
        <w:gridCol w:w="1240"/>
        <w:gridCol w:w="5518"/>
        <w:gridCol w:w="1764"/>
      </w:tblGrid>
      <w:tr w:rsidR="008B780C" w:rsidRPr="00742B94" w:rsidTr="007A7DFB">
        <w:trPr>
          <w:jc w:val="center"/>
        </w:trPr>
        <w:tc>
          <w:tcPr>
            <w:tcW w:w="1242" w:type="dxa"/>
            <w:shd w:val="clear" w:color="auto" w:fill="548DD4" w:themeFill="text2" w:themeFillTint="99"/>
          </w:tcPr>
          <w:p w:rsidR="008B780C" w:rsidRPr="00597C85" w:rsidRDefault="008B780C" w:rsidP="007A7DFB">
            <w:pPr>
              <w:jc w:val="lowKashida"/>
              <w:rPr>
                <w:rFonts w:asciiTheme="majorBidi" w:hAnsiTheme="majorBidi" w:cstheme="majorBidi"/>
                <w:color w:val="FFFFFF" w:themeColor="background1"/>
                <w:sz w:val="28"/>
                <w:szCs w:val="28"/>
              </w:rPr>
            </w:pPr>
            <w:r w:rsidRPr="00597C85">
              <w:rPr>
                <w:b/>
                <w:bCs/>
                <w:color w:val="FFFFFF" w:themeColor="background1"/>
                <w:sz w:val="28"/>
                <w:szCs w:val="28"/>
              </w:rPr>
              <w:t>0404426</w:t>
            </w:r>
          </w:p>
        </w:tc>
        <w:tc>
          <w:tcPr>
            <w:tcW w:w="5812" w:type="dxa"/>
            <w:shd w:val="clear" w:color="auto" w:fill="548DD4" w:themeFill="text2" w:themeFillTint="99"/>
          </w:tcPr>
          <w:p w:rsidR="008B780C" w:rsidRPr="00597C85" w:rsidRDefault="008B780C" w:rsidP="007A7DFB">
            <w:pPr>
              <w:jc w:val="lowKashida"/>
              <w:rPr>
                <w:rFonts w:asciiTheme="majorBidi" w:hAnsiTheme="majorBidi" w:cstheme="majorBidi"/>
                <w:color w:val="FFFFFF" w:themeColor="background1"/>
                <w:sz w:val="28"/>
                <w:szCs w:val="28"/>
              </w:rPr>
            </w:pPr>
            <w:r w:rsidRPr="00597C85">
              <w:rPr>
                <w:b/>
                <w:bCs/>
                <w:color w:val="FFFFFF" w:themeColor="background1"/>
                <w:sz w:val="28"/>
                <w:szCs w:val="28"/>
              </w:rPr>
              <w:t>Analysis and Financial Planning</w:t>
            </w:r>
          </w:p>
        </w:tc>
        <w:tc>
          <w:tcPr>
            <w:tcW w:w="1802" w:type="dxa"/>
            <w:shd w:val="clear" w:color="auto" w:fill="548DD4" w:themeFill="text2" w:themeFillTint="99"/>
          </w:tcPr>
          <w:p w:rsidR="008B780C" w:rsidRPr="00597C85" w:rsidRDefault="008B780C" w:rsidP="007A7DFB">
            <w:pPr>
              <w:spacing w:line="18" w:lineRule="atLeast"/>
              <w:rPr>
                <w:b/>
                <w:bCs/>
                <w:color w:val="FFFFFF" w:themeColor="background1"/>
                <w:sz w:val="28"/>
                <w:szCs w:val="28"/>
              </w:rPr>
            </w:pPr>
            <w:r w:rsidRPr="00597C85">
              <w:rPr>
                <w:b/>
                <w:bCs/>
                <w:color w:val="FFFFFF" w:themeColor="background1"/>
                <w:sz w:val="28"/>
                <w:szCs w:val="28"/>
              </w:rPr>
              <w:t>0404211</w:t>
            </w:r>
          </w:p>
        </w:tc>
      </w:tr>
    </w:tbl>
    <w:p w:rsidR="008B780C" w:rsidRPr="006B2E9D" w:rsidRDefault="008B780C" w:rsidP="008B780C">
      <w:pPr>
        <w:pStyle w:val="BodyText"/>
        <w:spacing w:line="18" w:lineRule="atLeast"/>
        <w:jc w:val="lowKashida"/>
        <w:rPr>
          <w:rFonts w:cs="Simplified Arabic"/>
        </w:rPr>
      </w:pPr>
      <w:r w:rsidRPr="00597C85">
        <w:rPr>
          <w:rFonts w:cs="Simplified Arabic"/>
        </w:rPr>
        <w:t xml:space="preserve">This course focuses on the way to put association aims and the factors which affect on these aims, obligated finance resources, limit size of finance up to internal or external level. It shows using of financial ratios to recognize the problems types that affect on the organization. It discusses the financial analysis ways the best of these ways to be followed. </w:t>
      </w:r>
    </w:p>
    <w:p w:rsidR="008B780C" w:rsidRPr="008B780C" w:rsidRDefault="008B780C">
      <w:pPr>
        <w:rPr>
          <w:lang w:bidi="ar-JO"/>
        </w:rPr>
      </w:pPr>
    </w:p>
    <w:sectPr w:rsidR="008B780C" w:rsidRPr="008B78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8B780C"/>
    <w:rsid w:val="005C6E6B"/>
    <w:rsid w:val="008B71CD"/>
    <w:rsid w:val="008B7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4B2CB-D71C-4B95-9F55-5E2DC6B2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B780C"/>
    <w:pPr>
      <w:bidi w:val="0"/>
      <w:spacing w:before="100" w:beforeAutospacing="1" w:after="100" w:afterAutospacing="1" w:line="240" w:lineRule="auto"/>
    </w:pPr>
    <w:rPr>
      <w:rFonts w:ascii="Times New Roman" w:eastAsia="Times New Roman" w:hAnsi="Times New Roman" w:cs="Times New Roman"/>
      <w:color w:val="000000"/>
      <w:sz w:val="24"/>
      <w:szCs w:val="24"/>
      <w:lang w:bidi="ar-JO"/>
    </w:rPr>
  </w:style>
  <w:style w:type="character" w:customStyle="1" w:styleId="BodyTextChar">
    <w:name w:val="Body Text Char"/>
    <w:basedOn w:val="DefaultParagraphFont"/>
    <w:link w:val="BodyText"/>
    <w:uiPriority w:val="99"/>
    <w:rsid w:val="008B780C"/>
    <w:rPr>
      <w:rFonts w:ascii="Times New Roman" w:eastAsia="Times New Roman" w:hAnsi="Times New Roman" w:cs="Times New Roman"/>
      <w:color w:val="000000"/>
      <w:sz w:val="24"/>
      <w:szCs w:val="24"/>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financedept</dc:creator>
  <cp:keywords/>
  <dc:description/>
  <cp:lastModifiedBy>financedept</cp:lastModifiedBy>
  <cp:revision>3</cp:revision>
  <dcterms:created xsi:type="dcterms:W3CDTF">2016-08-28T10:21:00Z</dcterms:created>
  <dcterms:modified xsi:type="dcterms:W3CDTF">2021-02-10T08:02:00Z</dcterms:modified>
</cp:coreProperties>
</file>