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020" w:rsidRPr="000E5815" w:rsidRDefault="00AA7020" w:rsidP="00AA7020">
      <w:pPr>
        <w:spacing w:after="0" w:line="240" w:lineRule="auto"/>
        <w:jc w:val="center"/>
        <w:rPr>
          <w:rFonts w:ascii="Times New Roman" w:eastAsia="Calibri" w:hAnsi="Times New Roman" w:cs="Simplified Arabic"/>
          <w:b/>
          <w:bCs/>
          <w:sz w:val="28"/>
          <w:szCs w:val="28"/>
          <w:rtl/>
          <w:lang w:bidi="ar-JO"/>
        </w:rPr>
      </w:pPr>
      <w:r w:rsidRPr="00AA7020">
        <w:rPr>
          <w:rFonts w:ascii="Times New Roman" w:eastAsia="Times New Roman" w:hAnsi="Times New Roman" w:cs="Simplified Arabic" w:hint="cs"/>
          <w:b/>
          <w:bCs/>
          <w:sz w:val="28"/>
          <w:szCs w:val="28"/>
          <w:rtl/>
          <w:lang w:bidi="ar-JO"/>
        </w:rPr>
        <w:t>حاضر العالم الإسلامي والقضية الفلسطينية</w:t>
      </w:r>
    </w:p>
    <w:tbl>
      <w:tblPr>
        <w:bidiVisual/>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028"/>
        <w:gridCol w:w="1800"/>
      </w:tblGrid>
      <w:tr w:rsidR="00AA7020" w:rsidRPr="000E5815" w:rsidTr="00A73EE6">
        <w:trPr>
          <w:jc w:val="center"/>
        </w:trPr>
        <w:tc>
          <w:tcPr>
            <w:tcW w:w="2127" w:type="dxa"/>
            <w:shd w:val="clear" w:color="auto" w:fill="FABF8F"/>
          </w:tcPr>
          <w:p w:rsidR="00AA7020" w:rsidRPr="000E5815" w:rsidRDefault="00AA7020" w:rsidP="00A73EE6">
            <w:pPr>
              <w:tabs>
                <w:tab w:val="left" w:pos="411"/>
              </w:tabs>
              <w:spacing w:after="0" w:line="240" w:lineRule="auto"/>
              <w:jc w:val="center"/>
              <w:rPr>
                <w:rFonts w:ascii="Times New Roman" w:eastAsia="Calibri" w:hAnsi="Times New Roman" w:cs="Simplified Arabic"/>
                <w:sz w:val="28"/>
                <w:szCs w:val="28"/>
                <w:lang w:bidi="ar-JO"/>
              </w:rPr>
            </w:pPr>
            <w:r w:rsidRPr="000E5815">
              <w:rPr>
                <w:rFonts w:ascii="Times New Roman" w:eastAsia="Calibri" w:hAnsi="Times New Roman" w:cs="Simplified Arabic"/>
                <w:sz w:val="28"/>
                <w:szCs w:val="28"/>
                <w:rtl/>
                <w:lang w:bidi="ar-JO"/>
              </w:rPr>
              <w:t>رقم المادة</w:t>
            </w:r>
          </w:p>
        </w:tc>
        <w:tc>
          <w:tcPr>
            <w:tcW w:w="2976" w:type="dxa"/>
            <w:shd w:val="clear" w:color="auto" w:fill="FABF8F"/>
          </w:tcPr>
          <w:p w:rsidR="00AA7020" w:rsidRPr="000E5815" w:rsidRDefault="00AA7020" w:rsidP="00A73EE6">
            <w:pPr>
              <w:tabs>
                <w:tab w:val="left" w:pos="411"/>
              </w:tabs>
              <w:spacing w:after="0" w:line="240" w:lineRule="auto"/>
              <w:jc w:val="center"/>
              <w:rPr>
                <w:rFonts w:ascii="Times New Roman" w:eastAsia="Calibri" w:hAnsi="Times New Roman" w:cs="Simplified Arabic"/>
                <w:sz w:val="28"/>
                <w:szCs w:val="28"/>
                <w:lang w:bidi="ar-JO"/>
              </w:rPr>
            </w:pPr>
            <w:r w:rsidRPr="000E5815">
              <w:rPr>
                <w:rFonts w:ascii="Times New Roman" w:eastAsia="Calibri" w:hAnsi="Times New Roman" w:cs="Simplified Arabic"/>
                <w:sz w:val="28"/>
                <w:szCs w:val="28"/>
                <w:rtl/>
                <w:lang w:bidi="ar-JO"/>
              </w:rPr>
              <w:t>اسم المادة</w:t>
            </w:r>
          </w:p>
        </w:tc>
        <w:tc>
          <w:tcPr>
            <w:tcW w:w="2028" w:type="dxa"/>
            <w:shd w:val="clear" w:color="auto" w:fill="FABF8F"/>
          </w:tcPr>
          <w:p w:rsidR="00AA7020" w:rsidRPr="000E5815" w:rsidRDefault="00AA7020" w:rsidP="00A73EE6">
            <w:pPr>
              <w:tabs>
                <w:tab w:val="left" w:pos="411"/>
              </w:tabs>
              <w:spacing w:after="0" w:line="240" w:lineRule="auto"/>
              <w:jc w:val="center"/>
              <w:rPr>
                <w:rFonts w:ascii="Times New Roman" w:eastAsia="Calibri" w:hAnsi="Times New Roman" w:cs="Simplified Arabic"/>
                <w:sz w:val="28"/>
                <w:szCs w:val="28"/>
                <w:lang w:bidi="ar-JO"/>
              </w:rPr>
            </w:pPr>
            <w:r w:rsidRPr="000E5815">
              <w:rPr>
                <w:rFonts w:ascii="Times New Roman" w:eastAsia="Calibri" w:hAnsi="Times New Roman" w:cs="Simplified Arabic"/>
                <w:sz w:val="28"/>
                <w:szCs w:val="28"/>
                <w:rtl/>
                <w:lang w:bidi="ar-JO"/>
              </w:rPr>
              <w:t>عدد الساعات</w:t>
            </w:r>
          </w:p>
        </w:tc>
        <w:tc>
          <w:tcPr>
            <w:tcW w:w="1800" w:type="dxa"/>
            <w:shd w:val="clear" w:color="auto" w:fill="FABF8F"/>
          </w:tcPr>
          <w:p w:rsidR="00AA7020" w:rsidRPr="000E5815" w:rsidRDefault="00AA7020" w:rsidP="00A73EE6">
            <w:pPr>
              <w:tabs>
                <w:tab w:val="left" w:pos="411"/>
              </w:tabs>
              <w:spacing w:after="0" w:line="240" w:lineRule="auto"/>
              <w:jc w:val="center"/>
              <w:rPr>
                <w:rFonts w:ascii="Times New Roman" w:eastAsia="Calibri" w:hAnsi="Times New Roman" w:cs="Simplified Arabic"/>
                <w:sz w:val="28"/>
                <w:szCs w:val="28"/>
                <w:lang w:bidi="ar-JO"/>
              </w:rPr>
            </w:pPr>
            <w:r w:rsidRPr="000E5815">
              <w:rPr>
                <w:rFonts w:ascii="Times New Roman" w:eastAsia="Calibri" w:hAnsi="Times New Roman" w:cs="Simplified Arabic"/>
                <w:sz w:val="28"/>
                <w:szCs w:val="28"/>
                <w:rtl/>
                <w:lang w:bidi="ar-JO"/>
              </w:rPr>
              <w:t>المتطلب السابق</w:t>
            </w:r>
          </w:p>
        </w:tc>
      </w:tr>
      <w:tr w:rsidR="00AA7020" w:rsidRPr="000E5815" w:rsidTr="00A73EE6">
        <w:trPr>
          <w:jc w:val="center"/>
        </w:trPr>
        <w:tc>
          <w:tcPr>
            <w:tcW w:w="2127" w:type="dxa"/>
          </w:tcPr>
          <w:p w:rsidR="00AA7020" w:rsidRPr="000E5815" w:rsidRDefault="00AA7020" w:rsidP="00AA7020">
            <w:pPr>
              <w:tabs>
                <w:tab w:val="left" w:pos="411"/>
              </w:tabs>
              <w:spacing w:after="0" w:line="240" w:lineRule="auto"/>
              <w:jc w:val="center"/>
              <w:rPr>
                <w:rFonts w:ascii="Times New Roman" w:eastAsia="Calibri" w:hAnsi="Times New Roman" w:cs="Simplified Arabic"/>
                <w:sz w:val="28"/>
                <w:szCs w:val="28"/>
                <w:lang w:bidi="ar-JO"/>
              </w:rPr>
            </w:pPr>
            <w:r>
              <w:rPr>
                <w:rFonts w:ascii="Times New Roman" w:eastAsia="Calibri" w:hAnsi="Times New Roman" w:cs="Simplified Arabic" w:hint="cs"/>
                <w:b/>
                <w:bCs/>
                <w:sz w:val="28"/>
                <w:szCs w:val="28"/>
                <w:rtl/>
                <w:lang w:bidi="ar-JO"/>
              </w:rPr>
              <w:t>0200147</w:t>
            </w:r>
          </w:p>
        </w:tc>
        <w:tc>
          <w:tcPr>
            <w:tcW w:w="2976" w:type="dxa"/>
          </w:tcPr>
          <w:p w:rsidR="00AA7020" w:rsidRPr="000E5815" w:rsidRDefault="00AA7020" w:rsidP="00A73EE6">
            <w:pPr>
              <w:tabs>
                <w:tab w:val="left" w:pos="411"/>
              </w:tabs>
              <w:spacing w:after="0" w:line="240" w:lineRule="auto"/>
              <w:ind w:left="51"/>
              <w:jc w:val="center"/>
              <w:rPr>
                <w:rFonts w:ascii="Times New Roman" w:eastAsia="Calibri" w:hAnsi="Times New Roman" w:cs="Simplified Arabic"/>
                <w:sz w:val="28"/>
                <w:szCs w:val="28"/>
                <w:lang w:bidi="ar-JO"/>
              </w:rPr>
            </w:pPr>
            <w:r w:rsidRPr="00AA7020">
              <w:rPr>
                <w:rFonts w:ascii="Times New Roman" w:eastAsia="Times New Roman" w:hAnsi="Times New Roman" w:cs="Simplified Arabic" w:hint="cs"/>
                <w:b/>
                <w:bCs/>
                <w:sz w:val="28"/>
                <w:szCs w:val="28"/>
                <w:rtl/>
                <w:lang w:bidi="ar-JO"/>
              </w:rPr>
              <w:t>حاضر العالم الإسلامي والقضية الفلسطينية</w:t>
            </w:r>
          </w:p>
        </w:tc>
        <w:tc>
          <w:tcPr>
            <w:tcW w:w="2028" w:type="dxa"/>
          </w:tcPr>
          <w:p w:rsidR="00AA7020" w:rsidRPr="000E5815" w:rsidRDefault="00AA7020" w:rsidP="00A73EE6">
            <w:pPr>
              <w:tabs>
                <w:tab w:val="left" w:pos="411"/>
              </w:tabs>
              <w:spacing w:after="0" w:line="240" w:lineRule="auto"/>
              <w:jc w:val="center"/>
              <w:rPr>
                <w:rFonts w:ascii="Times New Roman" w:eastAsia="Calibri" w:hAnsi="Times New Roman" w:cs="Simplified Arabic"/>
                <w:sz w:val="28"/>
                <w:szCs w:val="28"/>
                <w:lang w:bidi="ar-JO"/>
              </w:rPr>
            </w:pPr>
            <w:r w:rsidRPr="000E5815">
              <w:rPr>
                <w:rFonts w:ascii="Times New Roman" w:eastAsia="Calibri" w:hAnsi="Times New Roman" w:cs="Simplified Arabic"/>
                <w:sz w:val="28"/>
                <w:szCs w:val="28"/>
                <w:rtl/>
                <w:lang w:bidi="ar-JO"/>
              </w:rPr>
              <w:t>3</w:t>
            </w:r>
          </w:p>
        </w:tc>
        <w:tc>
          <w:tcPr>
            <w:tcW w:w="1800" w:type="dxa"/>
          </w:tcPr>
          <w:p w:rsidR="00AA7020" w:rsidRPr="000E5815" w:rsidRDefault="00AA7020" w:rsidP="00A73EE6">
            <w:pPr>
              <w:tabs>
                <w:tab w:val="left" w:pos="411"/>
              </w:tabs>
              <w:spacing w:after="0" w:line="240" w:lineRule="auto"/>
              <w:jc w:val="center"/>
              <w:rPr>
                <w:rFonts w:ascii="Times New Roman" w:eastAsia="Calibri" w:hAnsi="Times New Roman" w:cs="Simplified Arabic"/>
                <w:sz w:val="28"/>
                <w:szCs w:val="28"/>
                <w:lang w:bidi="ar-JO"/>
              </w:rPr>
            </w:pPr>
            <w:r w:rsidRPr="000E5815">
              <w:rPr>
                <w:rFonts w:ascii="Times New Roman" w:eastAsia="Calibri" w:hAnsi="Times New Roman" w:cs="Simplified Arabic"/>
                <w:sz w:val="28"/>
                <w:szCs w:val="28"/>
                <w:rtl/>
                <w:lang w:bidi="ar-JO"/>
              </w:rPr>
              <w:t>--</w:t>
            </w:r>
          </w:p>
        </w:tc>
      </w:tr>
    </w:tbl>
    <w:p w:rsidR="00AA7020" w:rsidRDefault="00AA7020" w:rsidP="00AA7020">
      <w:pPr>
        <w:spacing w:after="0" w:line="240" w:lineRule="auto"/>
        <w:jc w:val="lowKashida"/>
        <w:rPr>
          <w:rFonts w:ascii="Times New Roman" w:eastAsia="Times New Roman" w:hAnsi="Times New Roman" w:cs="Simplified Arabic"/>
          <w:sz w:val="28"/>
          <w:szCs w:val="28"/>
          <w:rtl/>
          <w:lang w:bidi="ar-JO"/>
        </w:rPr>
      </w:pPr>
    </w:p>
    <w:p w:rsidR="00AA7020" w:rsidRPr="00AA7020" w:rsidRDefault="00AA7020" w:rsidP="0023550E">
      <w:pPr>
        <w:spacing w:after="0" w:line="240" w:lineRule="auto"/>
        <w:ind w:firstLine="720"/>
        <w:jc w:val="lowKashida"/>
        <w:rPr>
          <w:rFonts w:ascii="Times New Roman" w:eastAsia="Times New Roman" w:hAnsi="Times New Roman" w:cs="Simplified Arabic"/>
          <w:sz w:val="28"/>
          <w:szCs w:val="28"/>
          <w:rtl/>
          <w:lang w:bidi="ar-JO"/>
        </w:rPr>
      </w:pPr>
      <w:r w:rsidRPr="00AA7020">
        <w:rPr>
          <w:rFonts w:ascii="Times New Roman" w:eastAsia="Times New Roman" w:hAnsi="Times New Roman" w:cs="Simplified Arabic" w:hint="cs"/>
          <w:sz w:val="28"/>
          <w:szCs w:val="28"/>
          <w:rtl/>
          <w:lang w:bidi="ar-JO"/>
        </w:rPr>
        <w:t>تهدف هذه المادة إلى التعريف بحاضر العالم الإسلامي من حيث</w:t>
      </w:r>
      <w:r w:rsidR="0023550E">
        <w:rPr>
          <w:rFonts w:ascii="Times New Roman" w:eastAsia="Times New Roman" w:hAnsi="Times New Roman" w:cs="Simplified Arabic" w:hint="cs"/>
          <w:sz w:val="28"/>
          <w:szCs w:val="28"/>
          <w:rtl/>
          <w:lang w:bidi="ar-JO"/>
        </w:rPr>
        <w:t>:</w:t>
      </w:r>
      <w:r w:rsidRPr="00AA7020">
        <w:rPr>
          <w:rFonts w:ascii="Times New Roman" w:eastAsia="Times New Roman" w:hAnsi="Times New Roman" w:cs="Simplified Arabic" w:hint="cs"/>
          <w:sz w:val="28"/>
          <w:szCs w:val="28"/>
          <w:rtl/>
          <w:lang w:bidi="ar-JO"/>
        </w:rPr>
        <w:t xml:space="preserve"> الموقع والموارد والسكان والحالة السياسية والاجتماعية المعاصرة، وأهم المشكلات والتحديات التي تواجهه، مع إبراز أهمية الحلول لهذه المشكلات من منظور إسلامي، وكذلك تهدف هذه المادة إلى التعريف بالقضية الفلسطينية والجذور التاريخية للأطماع الصهيونية في أرض العرب في فلسطين، والحقوق العربية في هذه المنطقة، وتتضمن فلسطين في </w:t>
      </w:r>
      <w:r w:rsidR="0023550E">
        <w:rPr>
          <w:rFonts w:ascii="Times New Roman" w:eastAsia="Times New Roman" w:hAnsi="Times New Roman" w:cs="Simplified Arabic" w:hint="cs"/>
          <w:sz w:val="28"/>
          <w:szCs w:val="28"/>
          <w:rtl/>
          <w:lang w:bidi="ar-JO"/>
        </w:rPr>
        <w:t>آ</w:t>
      </w:r>
      <w:r w:rsidRPr="00AA7020">
        <w:rPr>
          <w:rFonts w:ascii="Times New Roman" w:eastAsia="Times New Roman" w:hAnsi="Times New Roman" w:cs="Simplified Arabic" w:hint="cs"/>
          <w:sz w:val="28"/>
          <w:szCs w:val="28"/>
          <w:rtl/>
          <w:lang w:bidi="ar-JO"/>
        </w:rPr>
        <w:t>واخر العهد العثماني والحركة الصهيونية والحرب العالمية الأولى والموقف البريطاني تجاه فلسطين (</w:t>
      </w:r>
      <w:r w:rsidR="0023550E">
        <w:rPr>
          <w:rFonts w:ascii="Times New Roman" w:eastAsia="Times New Roman" w:hAnsi="Times New Roman" w:cs="Simplified Arabic" w:hint="cs"/>
          <w:sz w:val="28"/>
          <w:szCs w:val="28"/>
          <w:rtl/>
          <w:lang w:bidi="ar-JO"/>
        </w:rPr>
        <w:t>إ</w:t>
      </w:r>
      <w:r w:rsidRPr="00AA7020">
        <w:rPr>
          <w:rFonts w:ascii="Times New Roman" w:eastAsia="Times New Roman" w:hAnsi="Times New Roman" w:cs="Simplified Arabic" w:hint="cs"/>
          <w:sz w:val="28"/>
          <w:szCs w:val="28"/>
          <w:rtl/>
          <w:lang w:bidi="ar-JO"/>
        </w:rPr>
        <w:t>تفاقية سايكس-بيكو ووعد بلفور والانتداب) وثورات 1929 و 1936 والأوضاع في فلسطين والأمم المتحدة وحرب 1948، ونشوء منظمة التحرير الفلسطينية وحرب 1967 وحرب 1973 والانتفاضة الفلسطينية وهجرة اليهود السوفييت إلى فلسطين. كما تتضمن تكليف الطلبة بدراسة وثيقة مراسلات الحسين-مكماهون، واتفاقية سايكس-بيكو، ووثيقة وعد بلفور</w:t>
      </w:r>
      <w:r w:rsidR="0023550E">
        <w:rPr>
          <w:rFonts w:ascii="Times New Roman" w:eastAsia="Times New Roman" w:hAnsi="Times New Roman" w:cs="Simplified Arabic" w:hint="cs"/>
          <w:sz w:val="28"/>
          <w:szCs w:val="28"/>
          <w:rtl/>
          <w:lang w:bidi="ar-JO"/>
        </w:rPr>
        <w:t>،</w:t>
      </w:r>
      <w:r w:rsidRPr="00AA7020">
        <w:rPr>
          <w:rFonts w:ascii="Times New Roman" w:eastAsia="Times New Roman" w:hAnsi="Times New Roman" w:cs="Simplified Arabic" w:hint="cs"/>
          <w:sz w:val="28"/>
          <w:szCs w:val="28"/>
          <w:rtl/>
          <w:lang w:bidi="ar-JO"/>
        </w:rPr>
        <w:t xml:space="preserve"> وعرض خرائط توضح التطورات السياسية بفلسطين</w:t>
      </w:r>
      <w:r w:rsidR="0023550E">
        <w:rPr>
          <w:rFonts w:ascii="Times New Roman" w:eastAsia="Times New Roman" w:hAnsi="Times New Roman" w:cs="Simplified Arabic" w:hint="cs"/>
          <w:sz w:val="28"/>
          <w:szCs w:val="28"/>
          <w:rtl/>
          <w:lang w:bidi="ar-JO"/>
        </w:rPr>
        <w:t>،</w:t>
      </w:r>
      <w:r w:rsidRPr="00AA7020">
        <w:rPr>
          <w:rFonts w:ascii="Times New Roman" w:eastAsia="Times New Roman" w:hAnsi="Times New Roman" w:cs="Simplified Arabic" w:hint="cs"/>
          <w:sz w:val="28"/>
          <w:szCs w:val="28"/>
          <w:rtl/>
          <w:lang w:bidi="ar-JO"/>
        </w:rPr>
        <w:t xml:space="preserve"> وترجمة النصوص الإنجليزية لبعض قرارات الأمم المتحدة الخاصة بالقضية الفلسطينية</w:t>
      </w:r>
      <w:r w:rsidR="0023550E">
        <w:rPr>
          <w:rFonts w:ascii="Times New Roman" w:eastAsia="Times New Roman" w:hAnsi="Times New Roman" w:cs="Simplified Arabic" w:hint="cs"/>
          <w:sz w:val="28"/>
          <w:szCs w:val="28"/>
          <w:rtl/>
          <w:lang w:bidi="ar-JO"/>
        </w:rPr>
        <w:t>،</w:t>
      </w:r>
      <w:bookmarkStart w:id="0" w:name="_GoBack"/>
      <w:bookmarkEnd w:id="0"/>
      <w:r w:rsidRPr="00AA7020">
        <w:rPr>
          <w:rFonts w:ascii="Times New Roman" w:eastAsia="Times New Roman" w:hAnsi="Times New Roman" w:cs="Simplified Arabic" w:hint="cs"/>
          <w:sz w:val="28"/>
          <w:szCs w:val="28"/>
          <w:rtl/>
          <w:lang w:bidi="ar-JO"/>
        </w:rPr>
        <w:t xml:space="preserve"> وكتابة تقرير عن أي جانب من جوانب القضية، وعرض بعض أفلام الفيديو عن الأوضاع الاجتماعية والاقتصادية للسكان العرب في فلسطين.</w:t>
      </w:r>
    </w:p>
    <w:p w:rsidR="003111AE" w:rsidRDefault="003111AE">
      <w:pPr>
        <w:rPr>
          <w:lang w:bidi="ar-JO"/>
        </w:rPr>
      </w:pPr>
    </w:p>
    <w:sectPr w:rsidR="003111AE" w:rsidSect="00E058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70"/>
    <w:rsid w:val="00175970"/>
    <w:rsid w:val="0023550E"/>
    <w:rsid w:val="003111AE"/>
    <w:rsid w:val="00A416B3"/>
    <w:rsid w:val="00AA7020"/>
    <w:rsid w:val="00E05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6BFED-A9CE-4367-8323-DC0D9956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4053</dc:creator>
  <cp:keywords/>
  <dc:description/>
  <cp:lastModifiedBy>4053</cp:lastModifiedBy>
  <cp:revision>3</cp:revision>
  <dcterms:created xsi:type="dcterms:W3CDTF">2017-10-02T07:54:00Z</dcterms:created>
  <dcterms:modified xsi:type="dcterms:W3CDTF">2017-10-04T08:20:00Z</dcterms:modified>
</cp:coreProperties>
</file>