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1FB" w:rsidRDefault="00DE71FB">
      <w:pPr>
        <w:rPr>
          <w:rFonts w:hint="cs"/>
          <w:rtl/>
          <w:lang w:bidi="ar-JO"/>
        </w:rPr>
      </w:pPr>
    </w:p>
    <w:tbl>
      <w:tblPr>
        <w:bidiVisual/>
        <w:tblW w:w="10206" w:type="dxa"/>
        <w:jc w:val="center"/>
        <w:tblLook w:val="04A0" w:firstRow="1" w:lastRow="0" w:firstColumn="1" w:lastColumn="0" w:noHBand="0" w:noVBand="1"/>
      </w:tblPr>
      <w:tblGrid>
        <w:gridCol w:w="4557"/>
        <w:gridCol w:w="1394"/>
        <w:gridCol w:w="1844"/>
        <w:gridCol w:w="2411"/>
      </w:tblGrid>
      <w:tr w:rsidR="00826548" w:rsidRPr="009B0B74" w:rsidTr="008F0821">
        <w:trPr>
          <w:jc w:val="center"/>
        </w:trPr>
        <w:tc>
          <w:tcPr>
            <w:tcW w:w="4557" w:type="dxa"/>
            <w:shd w:val="clear" w:color="auto" w:fill="BBD18F"/>
          </w:tcPr>
          <w:p w:rsidR="00826548" w:rsidRPr="00826548" w:rsidRDefault="00826548" w:rsidP="00826548">
            <w:pPr>
              <w:jc w:val="center"/>
              <w:rPr>
                <w:b/>
                <w:bCs/>
                <w:sz w:val="28"/>
                <w:szCs w:val="28"/>
              </w:rPr>
            </w:pPr>
            <w:r w:rsidRPr="00826548">
              <w:rPr>
                <w:rFonts w:hint="cs"/>
                <w:b/>
                <w:bCs/>
                <w:sz w:val="28"/>
                <w:szCs w:val="28"/>
                <w:rtl/>
              </w:rPr>
              <w:t>اسم</w:t>
            </w:r>
            <w:r w:rsidRPr="00826548">
              <w:rPr>
                <w:b/>
                <w:bCs/>
                <w:sz w:val="28"/>
                <w:szCs w:val="28"/>
                <w:rtl/>
              </w:rPr>
              <w:t xml:space="preserve"> </w:t>
            </w:r>
            <w:r w:rsidRPr="00826548">
              <w:rPr>
                <w:rFonts w:hint="cs"/>
                <w:b/>
                <w:bCs/>
                <w:sz w:val="28"/>
                <w:szCs w:val="28"/>
                <w:rtl/>
              </w:rPr>
              <w:t>المادة</w:t>
            </w:r>
          </w:p>
        </w:tc>
        <w:tc>
          <w:tcPr>
            <w:tcW w:w="1394" w:type="dxa"/>
            <w:shd w:val="clear" w:color="auto" w:fill="BBD18F"/>
          </w:tcPr>
          <w:p w:rsidR="00826548" w:rsidRPr="00826548" w:rsidRDefault="00826548" w:rsidP="00826548">
            <w:pPr>
              <w:jc w:val="center"/>
              <w:rPr>
                <w:b/>
                <w:bCs/>
                <w:sz w:val="28"/>
                <w:szCs w:val="28"/>
              </w:rPr>
            </w:pPr>
            <w:r w:rsidRPr="00826548">
              <w:rPr>
                <w:rFonts w:hint="cs"/>
                <w:b/>
                <w:bCs/>
                <w:sz w:val="28"/>
                <w:szCs w:val="28"/>
                <w:rtl/>
              </w:rPr>
              <w:t>رقم</w:t>
            </w:r>
            <w:r w:rsidRPr="00826548">
              <w:rPr>
                <w:b/>
                <w:bCs/>
                <w:sz w:val="28"/>
                <w:szCs w:val="28"/>
                <w:rtl/>
              </w:rPr>
              <w:t xml:space="preserve"> </w:t>
            </w:r>
            <w:r w:rsidRPr="00826548">
              <w:rPr>
                <w:rFonts w:hint="cs"/>
                <w:b/>
                <w:bCs/>
                <w:sz w:val="28"/>
                <w:szCs w:val="28"/>
                <w:rtl/>
              </w:rPr>
              <w:t>المادة</w:t>
            </w:r>
          </w:p>
        </w:tc>
        <w:tc>
          <w:tcPr>
            <w:tcW w:w="1844" w:type="dxa"/>
            <w:shd w:val="clear" w:color="auto" w:fill="BBD18F"/>
          </w:tcPr>
          <w:p w:rsidR="00826548" w:rsidRPr="00826548" w:rsidRDefault="00826548" w:rsidP="00826548">
            <w:pPr>
              <w:jc w:val="center"/>
              <w:rPr>
                <w:b/>
                <w:bCs/>
                <w:sz w:val="28"/>
                <w:szCs w:val="28"/>
              </w:rPr>
            </w:pPr>
            <w:r w:rsidRPr="00826548">
              <w:rPr>
                <w:rFonts w:hint="cs"/>
                <w:b/>
                <w:bCs/>
                <w:sz w:val="28"/>
                <w:szCs w:val="28"/>
                <w:rtl/>
              </w:rPr>
              <w:t>الساعات</w:t>
            </w:r>
            <w:r w:rsidRPr="00826548">
              <w:rPr>
                <w:b/>
                <w:bCs/>
                <w:sz w:val="28"/>
                <w:szCs w:val="28"/>
                <w:rtl/>
              </w:rPr>
              <w:t xml:space="preserve"> </w:t>
            </w:r>
            <w:r w:rsidRPr="00826548">
              <w:rPr>
                <w:rFonts w:hint="cs"/>
                <w:b/>
                <w:bCs/>
                <w:sz w:val="28"/>
                <w:szCs w:val="28"/>
                <w:rtl/>
              </w:rPr>
              <w:t>المعتمدة</w:t>
            </w:r>
          </w:p>
        </w:tc>
        <w:tc>
          <w:tcPr>
            <w:tcW w:w="2411" w:type="dxa"/>
            <w:shd w:val="clear" w:color="auto" w:fill="BBD18F"/>
          </w:tcPr>
          <w:p w:rsidR="00826548" w:rsidRPr="00826548" w:rsidRDefault="00826548" w:rsidP="00826548">
            <w:pPr>
              <w:jc w:val="center"/>
              <w:rPr>
                <w:b/>
                <w:bCs/>
                <w:sz w:val="28"/>
                <w:szCs w:val="28"/>
              </w:rPr>
            </w:pPr>
            <w:r w:rsidRPr="00826548">
              <w:rPr>
                <w:rFonts w:hint="cs"/>
                <w:b/>
                <w:bCs/>
                <w:sz w:val="28"/>
                <w:szCs w:val="28"/>
                <w:rtl/>
              </w:rPr>
              <w:t>المتطلب</w:t>
            </w:r>
            <w:r w:rsidRPr="00826548">
              <w:rPr>
                <w:b/>
                <w:bCs/>
                <w:sz w:val="28"/>
                <w:szCs w:val="28"/>
                <w:rtl/>
              </w:rPr>
              <w:t xml:space="preserve"> </w:t>
            </w:r>
            <w:r w:rsidRPr="00826548">
              <w:rPr>
                <w:rFonts w:hint="cs"/>
                <w:b/>
                <w:bCs/>
                <w:sz w:val="28"/>
                <w:szCs w:val="28"/>
                <w:rtl/>
              </w:rPr>
              <w:t>السابق</w:t>
            </w:r>
          </w:p>
        </w:tc>
      </w:tr>
      <w:tr w:rsidR="00C002A6" w:rsidRPr="009B0B74" w:rsidTr="008F0821">
        <w:trPr>
          <w:jc w:val="center"/>
        </w:trPr>
        <w:tc>
          <w:tcPr>
            <w:tcW w:w="4557" w:type="dxa"/>
            <w:shd w:val="clear" w:color="auto" w:fill="BBD18F"/>
          </w:tcPr>
          <w:p w:rsidR="00C002A6" w:rsidRPr="009B0B74" w:rsidRDefault="00C002A6" w:rsidP="008F0821">
            <w:pPr>
              <w:jc w:val="center"/>
              <w:rPr>
                <w:sz w:val="28"/>
                <w:szCs w:val="28"/>
              </w:rPr>
            </w:pPr>
            <w:r>
              <w:rPr>
                <w:rFonts w:hint="cs"/>
                <w:sz w:val="28"/>
                <w:szCs w:val="28"/>
                <w:rtl/>
                <w:lang w:bidi="ar-JO"/>
              </w:rPr>
              <w:t xml:space="preserve">الرعايه التلطيفيه </w:t>
            </w:r>
          </w:p>
        </w:tc>
        <w:tc>
          <w:tcPr>
            <w:tcW w:w="1394" w:type="dxa"/>
            <w:shd w:val="clear" w:color="auto" w:fill="BBD18F"/>
          </w:tcPr>
          <w:p w:rsidR="00C002A6" w:rsidRPr="009B0B74" w:rsidRDefault="00C002A6" w:rsidP="00C002A6">
            <w:pPr>
              <w:jc w:val="center"/>
              <w:rPr>
                <w:sz w:val="28"/>
                <w:szCs w:val="28"/>
              </w:rPr>
            </w:pPr>
            <w:r w:rsidRPr="009B0B74">
              <w:rPr>
                <w:sz w:val="28"/>
                <w:szCs w:val="28"/>
                <w:rtl/>
                <w:lang w:bidi="ar-JO"/>
              </w:rPr>
              <w:t>0801</w:t>
            </w:r>
            <w:r>
              <w:rPr>
                <w:rFonts w:hint="cs"/>
                <w:sz w:val="28"/>
                <w:szCs w:val="28"/>
                <w:rtl/>
                <w:lang w:bidi="ar-JO"/>
              </w:rPr>
              <w:t>322</w:t>
            </w:r>
          </w:p>
        </w:tc>
        <w:tc>
          <w:tcPr>
            <w:tcW w:w="1844" w:type="dxa"/>
            <w:shd w:val="clear" w:color="auto" w:fill="BBD18F"/>
          </w:tcPr>
          <w:p w:rsidR="00C002A6" w:rsidRPr="009B0B74" w:rsidRDefault="00C002A6" w:rsidP="008F0821">
            <w:pPr>
              <w:jc w:val="center"/>
              <w:rPr>
                <w:sz w:val="28"/>
                <w:szCs w:val="28"/>
              </w:rPr>
            </w:pPr>
            <w:r w:rsidRPr="009B0B74">
              <w:rPr>
                <w:sz w:val="28"/>
                <w:szCs w:val="28"/>
                <w:rtl/>
              </w:rPr>
              <w:t>3</w:t>
            </w:r>
          </w:p>
        </w:tc>
        <w:tc>
          <w:tcPr>
            <w:tcW w:w="2411" w:type="dxa"/>
            <w:shd w:val="clear" w:color="auto" w:fill="BBD18F"/>
          </w:tcPr>
          <w:p w:rsidR="00C002A6" w:rsidRPr="009B0B74" w:rsidRDefault="00C002A6" w:rsidP="008F0821">
            <w:pPr>
              <w:jc w:val="center"/>
              <w:rPr>
                <w:sz w:val="28"/>
                <w:szCs w:val="28"/>
              </w:rPr>
            </w:pPr>
          </w:p>
        </w:tc>
      </w:tr>
      <w:tr w:rsidR="00C002A6" w:rsidRPr="00914C25" w:rsidTr="008F0821">
        <w:trPr>
          <w:jc w:val="center"/>
        </w:trPr>
        <w:tc>
          <w:tcPr>
            <w:tcW w:w="10206" w:type="dxa"/>
            <w:gridSpan w:val="4"/>
            <w:shd w:val="clear" w:color="auto" w:fill="EDEDED" w:themeFill="accent3" w:themeFillTint="33"/>
          </w:tcPr>
          <w:p w:rsidR="00C002A6" w:rsidRPr="00914C25" w:rsidRDefault="00C002A6" w:rsidP="008F0821">
            <w:pPr>
              <w:jc w:val="center"/>
              <w:rPr>
                <w:b/>
                <w:bCs/>
                <w:sz w:val="28"/>
                <w:szCs w:val="28"/>
                <w:rtl/>
                <w:lang w:bidi="ar-JO"/>
              </w:rPr>
            </w:pPr>
            <w:r w:rsidRPr="00914C25">
              <w:rPr>
                <w:b/>
                <w:bCs/>
                <w:sz w:val="28"/>
                <w:szCs w:val="28"/>
                <w:rtl/>
                <w:lang w:bidi="ar-JO"/>
              </w:rPr>
              <w:t>وصف المساق</w:t>
            </w:r>
          </w:p>
          <w:p w:rsidR="00C002A6" w:rsidRPr="00C002A6" w:rsidRDefault="00C002A6" w:rsidP="00C002A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Arial" w:eastAsia="Times New Roman" w:hAnsi="Arial" w:cs="Arial"/>
                <w:b/>
                <w:bCs/>
                <w:color w:val="202124"/>
                <w:sz w:val="24"/>
                <w:szCs w:val="24"/>
                <w:rtl/>
                <w:lang w:bidi="ar"/>
              </w:rPr>
            </w:pPr>
            <w:r w:rsidRPr="00C002A6">
              <w:rPr>
                <w:rFonts w:ascii="Arial" w:eastAsia="Times New Roman" w:hAnsi="Arial" w:cs="Arial"/>
                <w:b/>
                <w:bCs/>
                <w:color w:val="202124"/>
                <w:sz w:val="24"/>
                <w:szCs w:val="24"/>
                <w:rtl/>
                <w:lang w:bidi="ar"/>
              </w:rPr>
              <w:t>يهدف هذا المساق إلى تطوير فهم أفضل للرعاية التلطيفية. الرعاية التلطيفية هي الرعاية المقدمة إلى شخص مصاب بمرض متقدم يحد من نوعيه الحياة ، ولا يوجد علاج له. الهدف من الرعاية التلطيفية هو تخفيف المعاناة وتوفير أفضل نوعية حياة ممكنة للأشخاص الذين يواجهون الألم والأعراض والضغوط الناجمة عن مرض خطير. الرعايه التلطيفيه ضروريه في أي عمر وفي أي مرحلة من مراحل المرض ويمكن توفيره إلى جانب العلاجات الأخرى المستخدمة في العلاج. يسعى هذا المساق إلى تقديم وصف لما تتضمنه الرعاية التلطيفية وكيف يمكن للممرضة أن تدعم بشكل أفضل احتياجات المريض الجسدية والعاطفية والروحية في نهاية حياته. كما تشمل الرعاية الداعمة للأقارب والأصدقاء أثناء مرض الشخص وبعد وفاته</w:t>
            </w:r>
          </w:p>
          <w:p w:rsidR="00C002A6" w:rsidRPr="00914C25" w:rsidRDefault="00C002A6" w:rsidP="00C002A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sz w:val="28"/>
                <w:szCs w:val="28"/>
                <w:lang w:bidi="ar-JO"/>
              </w:rPr>
            </w:pPr>
          </w:p>
        </w:tc>
      </w:tr>
    </w:tbl>
    <w:p w:rsidR="00C002A6" w:rsidRPr="00C002A6" w:rsidRDefault="00C002A6">
      <w:bookmarkStart w:id="0" w:name="_GoBack"/>
      <w:bookmarkEnd w:id="0"/>
    </w:p>
    <w:sectPr w:rsidR="00C002A6" w:rsidRPr="00C002A6" w:rsidSect="00C002A6">
      <w:pgSz w:w="16838" w:h="11906" w:orient="landscape"/>
      <w:pgMar w:top="1800" w:right="1440" w:bottom="180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ADB"/>
    <w:rsid w:val="00126ADB"/>
    <w:rsid w:val="001D63AB"/>
    <w:rsid w:val="00826548"/>
    <w:rsid w:val="00C002A6"/>
    <w:rsid w:val="00DE71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7B2A96-D391-4BB8-B0EB-483847601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basedOn w:val="Normal"/>
    <w:next w:val="Normal"/>
    <w:link w:val="Heading2Char"/>
    <w:uiPriority w:val="99"/>
    <w:qFormat/>
    <w:rsid w:val="00826548"/>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826548"/>
    <w:rPr>
      <w:rFonts w:ascii="Arial" w:eastAsia="Times New Roman"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485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110</Words>
  <Characters>632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Raya Al-hosban</dc:creator>
  <cp:keywords/>
  <dc:description/>
  <cp:lastModifiedBy>Raya Al-hosban</cp:lastModifiedBy>
  <cp:revision>3</cp:revision>
  <dcterms:created xsi:type="dcterms:W3CDTF">2021-06-17T08:24:00Z</dcterms:created>
  <dcterms:modified xsi:type="dcterms:W3CDTF">2021-06-17T08:32:00Z</dcterms:modified>
</cp:coreProperties>
</file>