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47"/>
        <w:gridCol w:w="1392"/>
        <w:gridCol w:w="1842"/>
        <w:gridCol w:w="2425"/>
      </w:tblGrid>
      <w:tr w:rsidR="0005016A" w:rsidRPr="009B0B74" w:rsidTr="00A75722">
        <w:trPr>
          <w:jc w:val="center"/>
        </w:trPr>
        <w:tc>
          <w:tcPr>
            <w:tcW w:w="4547" w:type="dxa"/>
            <w:shd w:val="clear" w:color="auto" w:fill="85A545"/>
            <w:vAlign w:val="center"/>
          </w:tcPr>
          <w:p w:rsidR="0005016A" w:rsidRPr="009B0B74" w:rsidRDefault="0005016A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2" w:type="dxa"/>
            <w:shd w:val="clear" w:color="auto" w:fill="85A545"/>
            <w:vAlign w:val="center"/>
          </w:tcPr>
          <w:p w:rsidR="0005016A" w:rsidRPr="009B0B74" w:rsidRDefault="0005016A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2" w:type="dxa"/>
            <w:shd w:val="clear" w:color="auto" w:fill="85A545"/>
            <w:vAlign w:val="center"/>
          </w:tcPr>
          <w:p w:rsidR="0005016A" w:rsidRPr="009B0B74" w:rsidRDefault="0005016A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05016A" w:rsidRPr="009B0B74" w:rsidRDefault="0005016A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05016A" w:rsidRPr="009B0B74" w:rsidTr="00A75722">
        <w:trPr>
          <w:jc w:val="center"/>
        </w:trPr>
        <w:tc>
          <w:tcPr>
            <w:tcW w:w="4547" w:type="dxa"/>
            <w:shd w:val="clear" w:color="auto" w:fill="BBD18F"/>
          </w:tcPr>
          <w:p w:rsidR="0005016A" w:rsidRPr="009B0B74" w:rsidRDefault="0005016A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>أساليب البحث</w:t>
            </w:r>
            <w:bookmarkEnd w:id="0"/>
          </w:p>
        </w:tc>
        <w:tc>
          <w:tcPr>
            <w:tcW w:w="1392" w:type="dxa"/>
            <w:shd w:val="clear" w:color="auto" w:fill="BBD18F"/>
          </w:tcPr>
          <w:p w:rsidR="0005016A" w:rsidRPr="009B0B74" w:rsidRDefault="0005016A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0801381</w:t>
            </w:r>
          </w:p>
        </w:tc>
        <w:tc>
          <w:tcPr>
            <w:tcW w:w="1842" w:type="dxa"/>
            <w:shd w:val="clear" w:color="auto" w:fill="BBD18F"/>
          </w:tcPr>
          <w:p w:rsidR="0005016A" w:rsidRPr="009B0B74" w:rsidRDefault="0005016A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  <w:shd w:val="clear" w:color="auto" w:fill="BBD18F"/>
          </w:tcPr>
          <w:p w:rsidR="0005016A" w:rsidRPr="009B0B74" w:rsidRDefault="0005016A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Pr="009B0B74">
              <w:rPr>
                <w:sz w:val="28"/>
                <w:szCs w:val="28"/>
                <w:rtl/>
              </w:rPr>
              <w:t>0128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9B0B74">
              <w:rPr>
                <w:sz w:val="28"/>
                <w:szCs w:val="28"/>
                <w:rtl/>
              </w:rPr>
              <w:t>+0801223</w:t>
            </w:r>
          </w:p>
        </w:tc>
      </w:tr>
      <w:tr w:rsidR="0005016A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05016A" w:rsidRPr="002346DB" w:rsidRDefault="0005016A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46DB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05016A" w:rsidRPr="002346DB" w:rsidRDefault="0005016A" w:rsidP="00A75722">
            <w:pPr>
              <w:rPr>
                <w:sz w:val="28"/>
                <w:szCs w:val="28"/>
                <w:lang w:bidi="ar-JO"/>
              </w:rPr>
            </w:pPr>
            <w:r w:rsidRPr="002346DB">
              <w:rPr>
                <w:sz w:val="28"/>
                <w:szCs w:val="28"/>
                <w:rtl/>
                <w:lang w:bidi="ar-JO"/>
              </w:rPr>
              <w:t xml:space="preserve">تم تصميم هذا المساق لتعريف طلاب التمريض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 مستوى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 السنة الثالثة و الرابعة على الخبرات التعلميه التي تساعدهم على تقدير أهمية البحث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العلمي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 في تعزيز مهنة التمريض وتحسين رعاية المرضى.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346DB">
              <w:rPr>
                <w:sz w:val="28"/>
                <w:szCs w:val="28"/>
                <w:rtl/>
                <w:lang w:bidi="ar-JO"/>
              </w:rPr>
              <w:t>كما يعرض المساق المفاهيم الأسا</w:t>
            </w:r>
            <w:r>
              <w:rPr>
                <w:sz w:val="28"/>
                <w:szCs w:val="28"/>
                <w:rtl/>
                <w:lang w:bidi="ar-JO"/>
              </w:rPr>
              <w:t>سية في بحوث التمريض والغايه منه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2346DB">
              <w:rPr>
                <w:sz w:val="28"/>
                <w:szCs w:val="28"/>
                <w:rtl/>
                <w:lang w:bidi="ar-JO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كذلك يعرض لمحة عامة عن خطوات عمل البحث العلمي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ويقدم </w:t>
            </w:r>
            <w:r w:rsidRPr="002346DB">
              <w:rPr>
                <w:sz w:val="28"/>
                <w:szCs w:val="28"/>
                <w:rtl/>
                <w:lang w:bidi="ar-JO"/>
              </w:rPr>
              <w:t>أساسا لكتابة بحث مقترح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كما </w:t>
            </w:r>
            <w:r w:rsidRPr="002346DB">
              <w:rPr>
                <w:sz w:val="28"/>
                <w:szCs w:val="28"/>
                <w:rtl/>
                <w:lang w:bidi="ar-JO"/>
              </w:rPr>
              <w:t>يساعد الطلاب على اكتساب القدرة التحليلية لتقييم تقارير البحوث بشكل ناقد واستخدام نتائج البحوث في الحياه العملية</w:t>
            </w:r>
            <w:r w:rsidRPr="002346DB">
              <w:rPr>
                <w:sz w:val="28"/>
                <w:szCs w:val="28"/>
                <w:lang w:bidi="ar-JO"/>
              </w:rPr>
              <w:t>.</w:t>
            </w:r>
          </w:p>
        </w:tc>
      </w:tr>
    </w:tbl>
    <w:p w:rsidR="008B2539" w:rsidRPr="0005016A" w:rsidRDefault="008B2539"/>
    <w:sectPr w:rsidR="008B2539" w:rsidRPr="00050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6A"/>
    <w:rsid w:val="0005016A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01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016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01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016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2021-06-15T18:55:00Z</dcterms:created>
  <dcterms:modified xsi:type="dcterms:W3CDTF">2021-06-15T18:55:00Z</dcterms:modified>
</cp:coreProperties>
</file>