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2CD" w:rsidRDefault="000522CD" w:rsidP="000522CD">
      <w:pPr>
        <w:ind w:left="386"/>
        <w:rPr>
          <w:rFonts w:hint="cs"/>
          <w:b/>
          <w:bCs/>
          <w:rtl/>
          <w:lang w:bidi="ar-JO"/>
        </w:rPr>
      </w:pPr>
    </w:p>
    <w:p w:rsidR="000522CD" w:rsidRDefault="000522CD" w:rsidP="000522CD">
      <w:pPr>
        <w:ind w:left="386"/>
        <w:rPr>
          <w:b/>
          <w:bCs/>
          <w:rtl/>
          <w:lang w:bidi="ar-JO"/>
        </w:rPr>
      </w:pPr>
    </w:p>
    <w:p w:rsidR="000522CD" w:rsidRDefault="000522CD" w:rsidP="000522CD">
      <w:pPr>
        <w:ind w:left="386"/>
        <w:rPr>
          <w:b/>
          <w:bCs/>
          <w:rtl/>
          <w:lang w:bidi="ar-JO"/>
        </w:rPr>
      </w:pPr>
    </w:p>
    <w:tbl>
      <w:tblPr>
        <w:bidiVisual/>
        <w:tblW w:w="0" w:type="auto"/>
        <w:tblInd w:w="-132" w:type="dxa"/>
        <w:tblLayout w:type="fixed"/>
        <w:tblLook w:val="04A0" w:firstRow="1" w:lastRow="0" w:firstColumn="1" w:lastColumn="0" w:noHBand="0" w:noVBand="1"/>
      </w:tblPr>
      <w:tblGrid>
        <w:gridCol w:w="1618"/>
        <w:gridCol w:w="4052"/>
        <w:gridCol w:w="2943"/>
      </w:tblGrid>
      <w:tr w:rsidR="000522CD" w:rsidRPr="000522CD" w:rsidTr="003275C4">
        <w:tc>
          <w:tcPr>
            <w:tcW w:w="1618" w:type="dxa"/>
            <w:shd w:val="clear" w:color="auto" w:fill="548DD4"/>
            <w:hideMark/>
          </w:tcPr>
          <w:p w:rsidR="000522CD" w:rsidRPr="000522CD" w:rsidRDefault="000522CD" w:rsidP="00336AA0">
            <w:pPr>
              <w:tabs>
                <w:tab w:val="right" w:pos="4796"/>
              </w:tabs>
              <w:spacing w:after="200" w:line="276" w:lineRule="auto"/>
              <w:jc w:val="center"/>
              <w:rPr>
                <w:rFonts w:asciiTheme="minorHAnsi" w:eastAsiaTheme="minorEastAsia" w:hAnsiTheme="minorHAnsi" w:cs="Simplified Arabic"/>
                <w:b/>
                <w:bCs/>
                <w:color w:val="FFFFFF"/>
                <w:sz w:val="28"/>
                <w:szCs w:val="28"/>
              </w:rPr>
            </w:pPr>
            <w:r w:rsidRPr="000522CD">
              <w:rPr>
                <w:rFonts w:asciiTheme="majorBidi" w:eastAsiaTheme="minorEastAsia" w:hAnsiTheme="majorBidi" w:cstheme="majorBidi"/>
                <w:b/>
                <w:bCs/>
                <w:color w:val="FFFFFF" w:themeColor="background1"/>
                <w:sz w:val="28"/>
                <w:szCs w:val="28"/>
                <w:rtl/>
              </w:rPr>
              <w:t>0404</w:t>
            </w:r>
            <w:r w:rsidR="00336AA0">
              <w:rPr>
                <w:rFonts w:asciiTheme="majorBidi" w:eastAsiaTheme="minorEastAsia" w:hAnsiTheme="majorBidi" w:cstheme="majorBidi" w:hint="cs"/>
                <w:b/>
                <w:bCs/>
                <w:color w:val="FFFFFF" w:themeColor="background1"/>
                <w:sz w:val="28"/>
                <w:szCs w:val="28"/>
                <w:rtl/>
              </w:rPr>
              <w:t>310</w:t>
            </w:r>
          </w:p>
        </w:tc>
        <w:tc>
          <w:tcPr>
            <w:tcW w:w="4052" w:type="dxa"/>
            <w:shd w:val="clear" w:color="auto" w:fill="548DD4"/>
            <w:hideMark/>
          </w:tcPr>
          <w:p w:rsidR="000522CD" w:rsidRPr="000522CD" w:rsidRDefault="00336AA0" w:rsidP="000522CD">
            <w:pPr>
              <w:tabs>
                <w:tab w:val="right" w:pos="4796"/>
              </w:tabs>
              <w:spacing w:after="200" w:line="276" w:lineRule="auto"/>
              <w:jc w:val="center"/>
              <w:rPr>
                <w:rFonts w:asciiTheme="minorHAnsi" w:eastAsiaTheme="minorEastAsia" w:hAnsiTheme="minorHAnsi" w:cs="Simplified Arabic"/>
                <w:b/>
                <w:bCs/>
                <w:color w:val="FFFFFF" w:themeColor="background1"/>
                <w:sz w:val="28"/>
                <w:szCs w:val="28"/>
                <w:rtl/>
              </w:rPr>
            </w:pPr>
            <w:r>
              <w:rPr>
                <w:rFonts w:asciiTheme="majorBidi" w:eastAsiaTheme="minorEastAsia" w:hAnsiTheme="majorBidi" w:cstheme="majorBidi" w:hint="cs"/>
                <w:b/>
                <w:bCs/>
                <w:color w:val="FFFFFF" w:themeColor="background1"/>
                <w:sz w:val="28"/>
                <w:szCs w:val="28"/>
                <w:rtl/>
                <w:lang w:bidi="ar-JO"/>
              </w:rPr>
              <w:t>تمويل المشروعات الصغيرة</w:t>
            </w:r>
          </w:p>
        </w:tc>
        <w:tc>
          <w:tcPr>
            <w:tcW w:w="2943" w:type="dxa"/>
            <w:shd w:val="clear" w:color="auto" w:fill="548DD4"/>
            <w:hideMark/>
          </w:tcPr>
          <w:p w:rsidR="000522CD" w:rsidRPr="000522CD" w:rsidRDefault="000522CD" w:rsidP="00336AA0">
            <w:pPr>
              <w:spacing w:after="200"/>
              <w:rPr>
                <w:rFonts w:ascii="Simplified Arabic" w:eastAsiaTheme="minorEastAsia" w:hAnsi="Simplified Arabic" w:cs="Simplified Arabic"/>
                <w:b/>
                <w:bCs/>
                <w:color w:val="FFFFFF"/>
                <w:sz w:val="28"/>
                <w:szCs w:val="28"/>
                <w:rtl/>
                <w:lang w:bidi="ar-JO"/>
              </w:rPr>
            </w:pPr>
            <w:r w:rsidRPr="000522CD">
              <w:rPr>
                <w:rFonts w:asciiTheme="minorHAnsi" w:eastAsiaTheme="minorEastAsia" w:hAnsiTheme="minorHAnsi" w:cstheme="minorBidi"/>
                <w:color w:val="FFFFFF"/>
                <w:sz w:val="28"/>
                <w:szCs w:val="28"/>
                <w:rtl/>
              </w:rPr>
              <w:t>0404</w:t>
            </w:r>
            <w:r w:rsidR="00336AA0">
              <w:rPr>
                <w:rFonts w:asciiTheme="minorHAnsi" w:eastAsiaTheme="minorEastAsia" w:hAnsiTheme="minorHAnsi" w:cstheme="minorBidi" w:hint="cs"/>
                <w:color w:val="FFFFFF"/>
                <w:sz w:val="28"/>
                <w:szCs w:val="28"/>
                <w:rtl/>
              </w:rPr>
              <w:t>211</w:t>
            </w:r>
            <w:bookmarkStart w:id="0" w:name="_GoBack"/>
            <w:bookmarkEnd w:id="0"/>
          </w:p>
        </w:tc>
      </w:tr>
    </w:tbl>
    <w:p w:rsidR="000522CD" w:rsidRDefault="000522CD" w:rsidP="000522CD">
      <w:pPr>
        <w:rPr>
          <w:b/>
          <w:bCs/>
          <w:rtl/>
          <w:lang w:bidi="ar-JO"/>
        </w:rPr>
      </w:pPr>
    </w:p>
    <w:p w:rsidR="000244A6" w:rsidRPr="000522CD" w:rsidRDefault="000244A6" w:rsidP="000522CD">
      <w:pPr>
        <w:ind w:left="26"/>
        <w:jc w:val="both"/>
        <w:rPr>
          <w:b/>
          <w:bCs/>
          <w:sz w:val="28"/>
          <w:szCs w:val="28"/>
          <w:lang w:bidi="ar-JO"/>
        </w:rPr>
      </w:pPr>
      <w:r w:rsidRPr="000522CD">
        <w:rPr>
          <w:rFonts w:hint="cs"/>
          <w:b/>
          <w:bCs/>
          <w:sz w:val="28"/>
          <w:szCs w:val="28"/>
          <w:rtl/>
          <w:lang w:bidi="ar-JO"/>
        </w:rPr>
        <w:t>تتناول المادة موضوعات  تمويل المشاريع الصغيرة والتي ترتبط بالقطاع بالقطاعات الاقتصادية، وتتناول طريق التمويل وومؤسساتع التمويل الاسلامية وغير لاسلامية محليا ودوليا، بحيث تراعي اشباع حاجات الأفراد والشركات والحكومة على المستوى طويل الاجل ونقلها من منشآت صغيرة الى منشىآت كبيرة</w:t>
      </w:r>
    </w:p>
    <w:p w:rsidR="00C1162F" w:rsidRPr="000522CD" w:rsidRDefault="00C1162F" w:rsidP="000522CD">
      <w:pPr>
        <w:jc w:val="both"/>
        <w:rPr>
          <w:sz w:val="28"/>
          <w:szCs w:val="28"/>
          <w:lang w:bidi="ar-JO"/>
        </w:rPr>
      </w:pPr>
    </w:p>
    <w:sectPr w:rsidR="00C1162F" w:rsidRPr="000522CD" w:rsidSect="004961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E00E4"/>
    <w:multiLevelType w:val="hybridMultilevel"/>
    <w:tmpl w:val="B1521E86"/>
    <w:lvl w:ilvl="0" w:tplc="5C1881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A6"/>
    <w:rsid w:val="000244A6"/>
    <w:rsid w:val="000522CD"/>
    <w:rsid w:val="00336AA0"/>
    <w:rsid w:val="004961D2"/>
    <w:rsid w:val="00C11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41CA3-18B1-40C0-88A2-F90C1A70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4A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financedept</dc:creator>
  <cp:keywords/>
  <dc:description/>
  <cp:lastModifiedBy>financedept</cp:lastModifiedBy>
  <cp:revision>3</cp:revision>
  <dcterms:created xsi:type="dcterms:W3CDTF">2021-02-07T09:11:00Z</dcterms:created>
  <dcterms:modified xsi:type="dcterms:W3CDTF">2021-02-10T07:56:00Z</dcterms:modified>
</cp:coreProperties>
</file>